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91E" w:rsidRPr="00CC5195" w:rsidRDefault="00703FD9">
      <w:pPr>
        <w:spacing w:after="0" w:line="240" w:lineRule="auto"/>
        <w:jc w:val="center"/>
        <w:rPr>
          <w:rFonts w:ascii="Gill Sans MT" w:eastAsia="Times New Roman" w:hAnsi="Gill Sans MT"/>
          <w:b/>
          <w:color w:val="000000"/>
          <w:sz w:val="28"/>
          <w:szCs w:val="28"/>
          <w:lang w:eastAsia="es-ES"/>
        </w:rPr>
      </w:pPr>
      <w:r w:rsidRPr="00CC5195">
        <w:rPr>
          <w:rFonts w:ascii="Gill Sans MT" w:eastAsia="Times New Roman" w:hAnsi="Gill Sans MT"/>
          <w:b/>
          <w:color w:val="000000"/>
          <w:sz w:val="28"/>
          <w:szCs w:val="28"/>
          <w:lang w:eastAsia="es-ES"/>
        </w:rPr>
        <w:t>PLAN DE COMUNICACIÓN Y VISIBILIDAD</w:t>
      </w:r>
    </w:p>
    <w:p w:rsidR="00CA291E" w:rsidRPr="00CC5195" w:rsidRDefault="00703FD9">
      <w:pPr>
        <w:spacing w:after="0" w:line="240" w:lineRule="auto"/>
        <w:jc w:val="center"/>
        <w:rPr>
          <w:rFonts w:ascii="Gill Sans MT" w:hAnsi="Gill Sans MT"/>
          <w:sz w:val="28"/>
          <w:szCs w:val="28"/>
        </w:rPr>
      </w:pPr>
      <w:r w:rsidRPr="00CC5195">
        <w:rPr>
          <w:rFonts w:ascii="Gill Sans MT" w:eastAsia="Times New Roman" w:hAnsi="Gill Sans MT"/>
          <w:b/>
          <w:color w:val="000000"/>
          <w:sz w:val="28"/>
          <w:szCs w:val="28"/>
          <w:lang w:eastAsia="es-ES"/>
        </w:rPr>
        <w:t>Proyecto PDT Nariño - Colombia</w:t>
      </w:r>
    </w:p>
    <w:p w:rsidR="00CA291E" w:rsidRPr="006F0F08" w:rsidRDefault="00703FD9">
      <w:pPr>
        <w:spacing w:after="0" w:line="240" w:lineRule="auto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z w:val="24"/>
          <w:szCs w:val="24"/>
          <w:lang w:eastAsia="es-ES"/>
        </w:rPr>
        <w:t xml:space="preserve"> </w:t>
      </w:r>
    </w:p>
    <w:p w:rsidR="00CA291E" w:rsidRPr="006F0F08" w:rsidRDefault="00703FD9">
      <w:pPr>
        <w:spacing w:after="0" w:line="240" w:lineRule="auto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z w:val="24"/>
          <w:szCs w:val="24"/>
          <w:lang w:eastAsia="es-ES"/>
        </w:rPr>
        <w:t xml:space="preserve"> </w:t>
      </w:r>
    </w:p>
    <w:p w:rsidR="00CA291E" w:rsidRPr="006F0F08" w:rsidRDefault="00703FD9">
      <w:pPr>
        <w:spacing w:before="120" w:after="0" w:line="240" w:lineRule="auto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color w:val="000000"/>
          <w:lang w:eastAsia="es-ES"/>
        </w:rPr>
        <w:t>A – Objetivos</w:t>
      </w:r>
    </w:p>
    <w:p w:rsidR="00CA291E" w:rsidRPr="006F0F08" w:rsidRDefault="00703FD9">
      <w:pPr>
        <w:spacing w:before="120" w:after="0" w:line="240" w:lineRule="auto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color w:val="000000"/>
          <w:lang w:eastAsia="es-ES"/>
        </w:rPr>
        <w:t>Objetivo general del Plan de Comunicación y Visibilidad del proyecto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Favorecer el posicionamiento del proyecto, evidenciando los impactos y avances que se desarrollen del mismo. Brindar a la comunidad acceso a la información, abriendo espacios para el diálogo y la participación de las y los beneficiarios, para así impulsar su apropiación; todo lo anterior resaltando el apoyo de la Unión Europea y la Cooperación Española como aliados comprometidos con Nariño y Colombia.</w:t>
      </w:r>
    </w:p>
    <w:p w:rsidR="00CA291E" w:rsidRPr="006F0F08" w:rsidRDefault="00703FD9">
      <w:pPr>
        <w:spacing w:before="120" w:after="0" w:line="240" w:lineRule="auto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 </w:t>
      </w:r>
    </w:p>
    <w:p w:rsidR="00CA291E" w:rsidRPr="006F0F08" w:rsidRDefault="00703FD9">
      <w:pPr>
        <w:spacing w:before="120" w:after="0" w:line="240" w:lineRule="auto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color w:val="000000"/>
          <w:lang w:eastAsia="es-ES"/>
        </w:rPr>
        <w:t xml:space="preserve">1. </w:t>
      </w:r>
      <w:r w:rsidRPr="006F0F08">
        <w:rPr>
          <w:rFonts w:ascii="Gill Sans MT" w:eastAsia="Times New Roman" w:hAnsi="Gill Sans MT"/>
          <w:b/>
          <w:bCs/>
          <w:color w:val="000000"/>
          <w:shd w:val="clear" w:color="auto" w:fill="FFFFFF"/>
          <w:lang w:eastAsia="es-ES"/>
        </w:rPr>
        <w:t>Objetivos generales de comunicación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Generar procesos de comunicación que impulsen el posicionamiento, identidad y difusión de las diferentes actividades y avances del proyecto.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Impulsar la participación y apropiación de las comunidades con el proyecto, a través de procesos, actividades y productos pedagógicos y comunicativos que correspondan con la identidad cultural de la región.</w:t>
      </w:r>
    </w:p>
    <w:p w:rsidR="00CC5195" w:rsidRDefault="00703FD9">
      <w:pPr>
        <w:spacing w:before="120" w:after="0" w:line="240" w:lineRule="auto"/>
        <w:jc w:val="both"/>
        <w:rPr>
          <w:rFonts w:ascii="Gill Sans MT" w:eastAsia="Times New Roman" w:hAnsi="Gill Sans MT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La comunicación será transversal a todas las líneas de acción, buscando evidenciar los avances y momentos claves del proyecto, generando canales, productos y actividades que brinden acceso a la información de ejecución del mismo</w:t>
      </w:r>
      <w:r w:rsidRPr="006F0F08">
        <w:rPr>
          <w:rFonts w:ascii="Gill Sans MT" w:eastAsia="Times New Roman" w:hAnsi="Gill Sans MT"/>
          <w:lang w:eastAsia="es-ES"/>
        </w:rPr>
        <w:t xml:space="preserve"> y estableciendo espacios de rendición de cuentas y transparencia de los avances y logros</w:t>
      </w:r>
      <w:r w:rsidR="00CC5195">
        <w:rPr>
          <w:rFonts w:ascii="Gill Sans MT" w:eastAsia="Times New Roman" w:hAnsi="Gill Sans MT"/>
          <w:lang w:eastAsia="es-ES"/>
        </w:rPr>
        <w:t>.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lang w:eastAsia="es-ES"/>
        </w:rPr>
        <w:t xml:space="preserve"> </w:t>
      </w:r>
    </w:p>
    <w:p w:rsidR="00CA291E" w:rsidRPr="006F0F08" w:rsidRDefault="00703FD9">
      <w:pPr>
        <w:spacing w:before="120" w:after="0" w:line="240" w:lineRule="auto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lang w:eastAsia="es-ES"/>
        </w:rPr>
        <w:t xml:space="preserve">2. </w:t>
      </w:r>
      <w:r w:rsidRPr="006F0F08">
        <w:rPr>
          <w:rFonts w:ascii="Gill Sans MT" w:eastAsia="Times New Roman" w:hAnsi="Gill Sans MT"/>
          <w:b/>
          <w:bCs/>
          <w:shd w:val="clear" w:color="auto" w:fill="FFFFFF"/>
          <w:lang w:eastAsia="es-ES"/>
        </w:rPr>
        <w:t xml:space="preserve">Grupos </w:t>
      </w:r>
      <w:r w:rsidRPr="006F0F08">
        <w:rPr>
          <w:rFonts w:ascii="Gill Sans MT" w:eastAsia="Times New Roman" w:hAnsi="Gill Sans MT"/>
          <w:b/>
          <w:bCs/>
          <w:color w:val="000000"/>
          <w:shd w:val="clear" w:color="auto" w:fill="FFFFFF"/>
          <w:lang w:eastAsia="es-ES"/>
        </w:rPr>
        <w:t>destinatarios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hd w:val="clear" w:color="auto" w:fill="FFFFFF"/>
          <w:lang w:eastAsia="es-ES"/>
        </w:rPr>
        <w:t>El plan de comunicaciones del proyecto tendrá como destinatarios 3 públicos definidos:</w:t>
      </w:r>
    </w:p>
    <w:p w:rsidR="00CA291E" w:rsidRPr="006F0F08" w:rsidRDefault="00703FD9">
      <w:pPr>
        <w:pStyle w:val="Prrafodelista"/>
        <w:numPr>
          <w:ilvl w:val="0"/>
          <w:numId w:val="1"/>
        </w:num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Entidades, organizaciones y empresas participantes directas.</w:t>
      </w:r>
    </w:p>
    <w:p w:rsidR="00CA291E" w:rsidRPr="006F0F08" w:rsidRDefault="00703FD9">
      <w:pPr>
        <w:pStyle w:val="Prrafodelista"/>
        <w:numPr>
          <w:ilvl w:val="0"/>
          <w:numId w:val="1"/>
        </w:num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Comunidad beneficiaria de las diversas líneas de acción.</w:t>
      </w:r>
    </w:p>
    <w:p w:rsidR="00CA291E" w:rsidRPr="006F0F08" w:rsidRDefault="00703FD9">
      <w:pPr>
        <w:pStyle w:val="Prrafodelista"/>
        <w:numPr>
          <w:ilvl w:val="0"/>
          <w:numId w:val="1"/>
        </w:num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Comunidad en general, que podrá acceder a la información del programa a través de los medios de comunicación directos, locales, regionales, nacionales e internacionales.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A fin de lograr un mejor posicionamiento del proyecto y apoyar el cumplimiento de sus metas, se hará uso de diversos canales, productos y actividades que faciliten el acceso a la información, según las necesidades y lógicas culturales de cada público objetivo.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 </w:t>
      </w:r>
    </w:p>
    <w:p w:rsidR="00CA291E" w:rsidRPr="006F0F08" w:rsidRDefault="00703FD9">
      <w:pPr>
        <w:spacing w:before="120" w:after="0" w:line="240" w:lineRule="auto"/>
        <w:ind w:left="300" w:hanging="300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color w:val="000000"/>
          <w:lang w:eastAsia="es-ES"/>
        </w:rPr>
        <w:t>3.  </w:t>
      </w:r>
      <w:r w:rsidRPr="006F0F08">
        <w:rPr>
          <w:rFonts w:ascii="Gill Sans MT" w:eastAsia="Times New Roman" w:hAnsi="Gill Sans MT"/>
          <w:b/>
          <w:color w:val="000000"/>
          <w:shd w:val="clear" w:color="auto" w:fill="FFFFFF"/>
          <w:lang w:eastAsia="es-ES"/>
        </w:rPr>
        <w:t>Objetivos concretos para cada grupo específico, relacionados con los objetivos de la acción y las fases del ciclo del proyecto</w:t>
      </w:r>
    </w:p>
    <w:p w:rsidR="00CA291E" w:rsidRPr="006F0F08" w:rsidRDefault="00703FD9">
      <w:pPr>
        <w:spacing w:before="120" w:after="0" w:line="240" w:lineRule="auto"/>
        <w:ind w:left="300" w:hanging="300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z w:val="24"/>
          <w:szCs w:val="24"/>
          <w:shd w:val="clear" w:color="auto" w:fill="FFFFFF"/>
          <w:lang w:eastAsia="es-ES"/>
        </w:rPr>
        <w:t xml:space="preserve"> </w:t>
      </w:r>
    </w:p>
    <w:tbl>
      <w:tblPr>
        <w:tblW w:w="9640" w:type="dxa"/>
        <w:tblInd w:w="-4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7371"/>
      </w:tblGrid>
      <w:tr w:rsidR="00CA291E" w:rsidRPr="006F0F08" w:rsidTr="006F0F08">
        <w:trPr>
          <w:trHeight w:val="78"/>
          <w:tblHeader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jc w:val="center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b/>
                <w:bCs/>
                <w:color w:val="000000"/>
                <w:shd w:val="clear" w:color="auto" w:fill="FFFFFF"/>
                <w:lang w:eastAsia="es-ES"/>
              </w:rPr>
              <w:t>Grupo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jc w:val="center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b/>
                <w:bCs/>
                <w:color w:val="000000"/>
                <w:shd w:val="clear" w:color="auto" w:fill="FFFFFF"/>
                <w:lang w:eastAsia="es-ES"/>
              </w:rPr>
              <w:t>Objetivos</w:t>
            </w:r>
          </w:p>
        </w:tc>
      </w:tr>
      <w:tr w:rsidR="00CA291E" w:rsidRPr="006F0F08" w:rsidTr="00703FD9">
        <w:trPr>
          <w:trHeight w:val="323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>Entidades, organizaciones y empresas participantes directas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eastAsia="Times New Roman" w:hAnsi="Gill Sans MT"/>
                <w:color w:val="000000"/>
                <w:lang w:eastAsia="es-ES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>Acordar los mecanismos para mantener un constante flujo de información interna, que permita un correcto manejo de la comunicación con las comunidades, la prensa y los actores directos del proyecto.</w:t>
            </w:r>
          </w:p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 xml:space="preserve">Identificar los </w:t>
            </w:r>
            <w:bookmarkStart w:id="0" w:name="_GoBack"/>
            <w:bookmarkEnd w:id="0"/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 xml:space="preserve">medios y espacios de difusión propios de las entidades, organizaciones y empresas participantes del proyecto y vincular las acciones de difusión con ellos, a fin de aprovecharlos para hacer difusión institucional y </w:t>
            </w: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lastRenderedPageBreak/>
              <w:t>externa del proyecto, siguiendo los lineamientos establecidos en el Manual de Comunicación y Visibilidad de la Unión Europea de acción exterior y de la Cooperación Española.</w:t>
            </w:r>
          </w:p>
        </w:tc>
      </w:tr>
      <w:tr w:rsidR="00CA291E" w:rsidRPr="006F0F08" w:rsidTr="006F0F0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lastRenderedPageBreak/>
              <w:t>Comunidad beneficiaria de las diversas líneas de acción.</w:t>
            </w:r>
          </w:p>
          <w:p w:rsidR="00CA291E" w:rsidRPr="006F0F08" w:rsidRDefault="00703FD9" w:rsidP="006F0F08">
            <w:pPr>
              <w:spacing w:before="40" w:after="40" w:line="240" w:lineRule="auto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shd w:val="clear" w:color="auto" w:fill="FFFFFF"/>
                <w:lang w:eastAsia="es-ES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>Identificar las prácticas, mecanismos y canales de comunicación más efectivos para las diferentes poblaciones participantes (beneficiarias) del proyecto, a fin de lograr una mayor cercanía y diálogo constante con la comunidad.</w:t>
            </w:r>
          </w:p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 xml:space="preserve">Impulsar la participación y apropiación de las comunidades con el proyecto, a través de procesos, actividades y productos pedagógicos y comunicativos que correspondan con la identidad cultural de la región, promoviendo </w:t>
            </w:r>
            <w:r w:rsidRPr="006F0F08">
              <w:rPr>
                <w:rFonts w:ascii="Gill Sans MT" w:eastAsia="Times New Roman" w:hAnsi="Gill Sans MT"/>
                <w:color w:val="000000"/>
                <w:shd w:val="clear" w:color="auto" w:fill="FFFFFF"/>
                <w:lang w:eastAsia="es-ES"/>
              </w:rPr>
              <w:t>que la población beneficiaria conozca las funciones del socio y de la Unión Europea en la actividad.</w:t>
            </w:r>
          </w:p>
        </w:tc>
      </w:tr>
      <w:tr w:rsidR="00CA291E" w:rsidRPr="006F0F08" w:rsidTr="006F0F08">
        <w:trPr>
          <w:trHeight w:val="731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>Comunidad en general, que podrá acceder a la información del programa a través de los medios de comunicación directos, locales, regionales, nacionales e internacionales.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>Generar procesos de comunicación que impulsen el posicionamiento, identidad y difusión de las diferentes actividades y avances del proyecto</w:t>
            </w:r>
            <w:r w:rsidRPr="006F0F08">
              <w:rPr>
                <w:rFonts w:ascii="Gill Sans MT" w:eastAsia="Times New Roman" w:hAnsi="Gill Sans MT"/>
                <w:lang w:eastAsia="es-ES"/>
              </w:rPr>
              <w:t>, así como la rendición de cuentas y transparencia</w:t>
            </w:r>
          </w:p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eastAsia="Times New Roman" w:hAnsi="Gill Sans MT"/>
                <w:color w:val="000000"/>
                <w:lang w:eastAsia="es-ES"/>
              </w:rPr>
              <w:t xml:space="preserve">Evidenciar los avances y momentos claves del proyecto, generando canales, productos y actividades que brinden acceso a la información de la ejecución del mismo, </w:t>
            </w:r>
            <w:r w:rsidRPr="006F0F08">
              <w:rPr>
                <w:rFonts w:ascii="Gill Sans MT" w:eastAsia="Times New Roman" w:hAnsi="Gill Sans MT"/>
                <w:color w:val="000000"/>
                <w:shd w:val="clear" w:color="auto" w:fill="FFFFFF"/>
                <w:lang w:eastAsia="es-ES"/>
              </w:rPr>
              <w:t>sensibilizando sobre cómo la UE y la Cooperación Española colaboran en apoyar estos procesos.</w:t>
            </w:r>
          </w:p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hAnsi="Gill Sans MT"/>
              </w:rPr>
              <w:t xml:space="preserve">Se coordinará el trabajo de comunicación y visibilidad con los demás proyectos financiados por el Fondo Europeo en el Departamento de Nariño. </w:t>
            </w:r>
          </w:p>
          <w:p w:rsidR="00CA291E" w:rsidRPr="006F0F08" w:rsidRDefault="00703FD9" w:rsidP="006F0F08">
            <w:pPr>
              <w:spacing w:before="40" w:after="40" w:line="240" w:lineRule="auto"/>
              <w:jc w:val="both"/>
              <w:rPr>
                <w:rFonts w:ascii="Gill Sans MT" w:hAnsi="Gill Sans MT"/>
              </w:rPr>
            </w:pPr>
            <w:r w:rsidRPr="006F0F08">
              <w:rPr>
                <w:rFonts w:ascii="Gill Sans MT" w:hAnsi="Gill Sans MT"/>
              </w:rPr>
              <w:t xml:space="preserve">Igualmente se proporcionará información periódica a los medios de comunicación con los que la DUE tiene acuerdos para la difusión y visibilidad del Fondo Europeo. </w:t>
            </w:r>
          </w:p>
        </w:tc>
      </w:tr>
    </w:tbl>
    <w:p w:rsidR="00CA291E" w:rsidRPr="006F0F08" w:rsidRDefault="00CA291E">
      <w:pPr>
        <w:spacing w:before="120" w:after="0" w:line="240" w:lineRule="auto"/>
        <w:ind w:left="300" w:hanging="300"/>
        <w:jc w:val="center"/>
        <w:rPr>
          <w:rFonts w:ascii="Gill Sans MT" w:eastAsia="Times New Roman" w:hAnsi="Gill Sans MT"/>
          <w:b/>
          <w:bCs/>
          <w:color w:val="000000"/>
          <w:sz w:val="24"/>
          <w:szCs w:val="24"/>
          <w:lang w:eastAsia="es-ES"/>
        </w:rPr>
      </w:pPr>
    </w:p>
    <w:p w:rsidR="00CA291E" w:rsidRPr="006F0F08" w:rsidRDefault="00703FD9">
      <w:pPr>
        <w:spacing w:before="120" w:after="0" w:line="240" w:lineRule="auto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color w:val="000000"/>
          <w:lang w:eastAsia="es-ES"/>
        </w:rPr>
        <w:t>B- Actividades de Comunicación</w:t>
      </w:r>
      <w:r w:rsidRPr="006F0F08">
        <w:rPr>
          <w:rFonts w:ascii="Gill Sans MT" w:eastAsia="Times New Roman" w:hAnsi="Gill Sans MT"/>
          <w:color w:val="000000"/>
          <w:lang w:eastAsia="es-ES"/>
        </w:rPr>
        <w:t xml:space="preserve"> </w:t>
      </w:r>
    </w:p>
    <w:p w:rsidR="00CA291E" w:rsidRPr="006F0F08" w:rsidRDefault="00CA291E">
      <w:pPr>
        <w:spacing w:before="120" w:after="0" w:line="240" w:lineRule="auto"/>
        <w:ind w:left="600" w:hanging="300"/>
        <w:jc w:val="center"/>
        <w:rPr>
          <w:rFonts w:ascii="Gill Sans MT" w:eastAsia="Times New Roman" w:hAnsi="Gill Sans MT"/>
          <w:b/>
          <w:bCs/>
          <w:color w:val="000000"/>
          <w:lang w:eastAsia="es-ES"/>
        </w:rPr>
      </w:pPr>
    </w:p>
    <w:p w:rsidR="00CA291E" w:rsidRPr="006F0F08" w:rsidRDefault="00703FD9">
      <w:pPr>
        <w:spacing w:before="120" w:after="0" w:line="240" w:lineRule="auto"/>
        <w:ind w:left="300" w:hanging="300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color w:val="000000"/>
          <w:lang w:eastAsia="es-ES"/>
        </w:rPr>
        <w:t>4.  </w:t>
      </w:r>
      <w:r w:rsidRPr="006F0F08">
        <w:rPr>
          <w:rFonts w:ascii="Gill Sans MT" w:eastAsia="Times New Roman" w:hAnsi="Gill Sans MT"/>
          <w:b/>
          <w:bCs/>
          <w:color w:val="000000"/>
          <w:shd w:val="clear" w:color="auto" w:fill="FFFFFF"/>
          <w:lang w:eastAsia="es-ES"/>
        </w:rPr>
        <w:t>Actividades principales que deberán llevarse a cabo durante el período cubierto por el plan de comunicación y visibilidad</w:t>
      </w:r>
    </w:p>
    <w:p w:rsidR="00CA291E" w:rsidRPr="006F0F08" w:rsidRDefault="00CA291E">
      <w:pPr>
        <w:spacing w:before="120" w:after="0" w:line="240" w:lineRule="auto"/>
        <w:ind w:left="300" w:hanging="300"/>
        <w:jc w:val="center"/>
        <w:rPr>
          <w:rFonts w:ascii="Gill Sans MT" w:hAnsi="Gill Sans MT"/>
        </w:rPr>
      </w:pPr>
    </w:p>
    <w:p w:rsidR="00CA291E" w:rsidRPr="006F0F08" w:rsidRDefault="00703FD9">
      <w:pPr>
        <w:pStyle w:val="Prrafodelista"/>
        <w:numPr>
          <w:ilvl w:val="0"/>
          <w:numId w:val="2"/>
        </w:numPr>
        <w:spacing w:after="0" w:line="240" w:lineRule="auto"/>
        <w:ind w:left="0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Generar un </w:t>
      </w:r>
      <w:r w:rsidRPr="006F0F08">
        <w:rPr>
          <w:rFonts w:ascii="Gill Sans MT" w:eastAsia="Times New Roman" w:hAnsi="Gill Sans MT"/>
          <w:b/>
          <w:color w:val="000000"/>
          <w:lang w:eastAsia="es-ES"/>
        </w:rPr>
        <w:t>Diagnóstico de Comunicación</w:t>
      </w:r>
      <w:r w:rsidRPr="006F0F08">
        <w:rPr>
          <w:rFonts w:ascii="Gill Sans MT" w:eastAsia="Times New Roman" w:hAnsi="Gill Sans MT"/>
          <w:color w:val="000000"/>
          <w:lang w:eastAsia="es-ES"/>
        </w:rPr>
        <w:t xml:space="preserve"> que incluirá la generación y actualización de una base de datos de medios de comunicación local, regional, nacional e internacional. Así como la identificación y priorización de grupos y mecanismos de comunicación alternativos y directos, que brinden una mayor cercanía con las comunidades beneficiarias. </w:t>
      </w:r>
    </w:p>
    <w:p w:rsidR="00CA291E" w:rsidRPr="006F0F08" w:rsidRDefault="00CA291E">
      <w:pPr>
        <w:pStyle w:val="Prrafodelista"/>
        <w:spacing w:after="0" w:line="240" w:lineRule="auto"/>
        <w:ind w:left="0"/>
        <w:jc w:val="both"/>
        <w:rPr>
          <w:rFonts w:ascii="Gill Sans MT" w:eastAsia="Times New Roman" w:hAnsi="Gill Sans MT"/>
          <w:color w:val="000000"/>
          <w:lang w:eastAsia="es-ES"/>
        </w:rPr>
      </w:pPr>
    </w:p>
    <w:p w:rsidR="00CA291E" w:rsidRPr="006F0F08" w:rsidRDefault="00703FD9">
      <w:pPr>
        <w:pStyle w:val="Prrafodelista"/>
        <w:spacing w:after="0" w:line="240" w:lineRule="auto"/>
        <w:ind w:left="0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En dicho diagnóstico también se identificarán los medios y espacios de difusión con que cuentan los diferentes organismos y entidades participantes del proyecto, para aprovecharlos en procesos de difusión. Por </w:t>
      </w:r>
      <w:r w:rsidR="008E175A" w:rsidRPr="006F0F08">
        <w:rPr>
          <w:rFonts w:ascii="Gill Sans MT" w:eastAsia="Times New Roman" w:hAnsi="Gill Sans MT"/>
          <w:color w:val="000000"/>
          <w:lang w:eastAsia="es-ES"/>
        </w:rPr>
        <w:t>último,</w:t>
      </w:r>
      <w:r w:rsidRPr="006F0F08">
        <w:rPr>
          <w:rFonts w:ascii="Gill Sans MT" w:eastAsia="Times New Roman" w:hAnsi="Gill Sans MT"/>
          <w:color w:val="000000"/>
          <w:lang w:eastAsia="es-ES"/>
        </w:rPr>
        <w:t xml:space="preserve"> el documento contendrá un análisis de las formas propias de comunicación de las comunidades beneficiarias, identificando oportunidades para el manejo de imagen, lenguaje y eventos existentes, que permitan lograr una mayor identidad y mejor impacto de las piezas, procesos y actividades de comunicación que se construyan.</w:t>
      </w:r>
    </w:p>
    <w:p w:rsidR="00CA291E" w:rsidRPr="006F0F08" w:rsidRDefault="00CA291E">
      <w:pPr>
        <w:spacing w:after="0" w:line="240" w:lineRule="auto"/>
        <w:jc w:val="both"/>
        <w:rPr>
          <w:rFonts w:ascii="Gill Sans MT" w:eastAsia="Times New Roman" w:hAnsi="Gill Sans MT"/>
          <w:color w:val="000000"/>
          <w:lang w:eastAsia="es-ES"/>
        </w:rPr>
      </w:pPr>
    </w:p>
    <w:p w:rsidR="00CA291E" w:rsidRPr="006F0F08" w:rsidRDefault="00703FD9">
      <w:pPr>
        <w:spacing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Con los resultados de este diagnóstico se construirá una estrategia de comunicaciones que incluya los componentes de comunicación externa, digital, pedagogía, procesos y prensa.</w:t>
      </w:r>
    </w:p>
    <w:p w:rsidR="00CA291E" w:rsidRPr="006F0F08" w:rsidRDefault="00CA291E">
      <w:pPr>
        <w:spacing w:after="0" w:line="240" w:lineRule="auto"/>
        <w:jc w:val="both"/>
        <w:rPr>
          <w:rFonts w:ascii="Gill Sans MT" w:eastAsia="Times New Roman" w:hAnsi="Gill Sans MT"/>
          <w:color w:val="000000"/>
          <w:u w:val="single"/>
          <w:lang w:eastAsia="es-ES"/>
        </w:rPr>
      </w:pPr>
    </w:p>
    <w:p w:rsidR="00CA291E" w:rsidRPr="006F0F08" w:rsidRDefault="00703FD9">
      <w:pPr>
        <w:pStyle w:val="Prrafodelista"/>
        <w:numPr>
          <w:ilvl w:val="0"/>
          <w:numId w:val="2"/>
        </w:numPr>
        <w:spacing w:after="0" w:line="240" w:lineRule="auto"/>
        <w:ind w:left="0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Desarrollar un </w:t>
      </w:r>
      <w:r w:rsidRPr="006F0F08">
        <w:rPr>
          <w:rFonts w:ascii="Gill Sans MT" w:eastAsia="Times New Roman" w:hAnsi="Gill Sans MT"/>
          <w:b/>
          <w:color w:val="000000"/>
          <w:lang w:eastAsia="es-ES"/>
        </w:rPr>
        <w:t>Protocolo de Comunicación Interna</w:t>
      </w:r>
      <w:r w:rsidRPr="006F0F08">
        <w:rPr>
          <w:rFonts w:ascii="Gill Sans MT" w:eastAsia="Times New Roman" w:hAnsi="Gill Sans MT"/>
          <w:color w:val="000000"/>
          <w:lang w:eastAsia="es-ES"/>
        </w:rPr>
        <w:t xml:space="preserve"> del proyecto al cual se acojan todas las entidades, organizaciones y empresas participantes y que incluya un esquema de circulación de </w:t>
      </w:r>
      <w:r w:rsidRPr="006F0F08">
        <w:rPr>
          <w:rFonts w:ascii="Gill Sans MT" w:eastAsia="Times New Roman" w:hAnsi="Gill Sans MT"/>
          <w:color w:val="000000"/>
          <w:lang w:eastAsia="es-ES"/>
        </w:rPr>
        <w:lastRenderedPageBreak/>
        <w:t>información interna, un acuerdo de manejo de medios y espacios propios, de las entidades y organismos participantes y ejecutores.</w:t>
      </w:r>
    </w:p>
    <w:p w:rsidR="00CA291E" w:rsidRPr="006F0F08" w:rsidRDefault="00CA291E">
      <w:pPr>
        <w:pStyle w:val="Prrafodelista"/>
        <w:spacing w:after="0" w:line="240" w:lineRule="auto"/>
        <w:ind w:left="0"/>
        <w:jc w:val="both"/>
        <w:rPr>
          <w:rFonts w:ascii="Gill Sans MT" w:hAnsi="Gill Sans MT"/>
        </w:rPr>
      </w:pPr>
    </w:p>
    <w:p w:rsidR="00CA291E" w:rsidRPr="006F0F08" w:rsidRDefault="00703FD9">
      <w:pPr>
        <w:pStyle w:val="Prrafodelista"/>
        <w:spacing w:after="0" w:line="240" w:lineRule="auto"/>
        <w:ind w:left="0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El protocolo establecerá acuerdos de vocerías y manejo de prensa y medios alternativos internos, así como la creación de un manual de imagen del proyecto el cual debe ser corresponsable con los manuales de imagen de la UE, la AECID y las entidades aportantes.</w:t>
      </w:r>
    </w:p>
    <w:p w:rsidR="00CA291E" w:rsidRPr="006F0F08" w:rsidRDefault="00CA291E">
      <w:pPr>
        <w:spacing w:after="0" w:line="240" w:lineRule="auto"/>
        <w:jc w:val="both"/>
        <w:rPr>
          <w:rFonts w:ascii="Gill Sans MT" w:eastAsia="Times New Roman" w:hAnsi="Gill Sans MT"/>
          <w:color w:val="000000"/>
          <w:lang w:eastAsia="es-ES"/>
        </w:rPr>
      </w:pPr>
    </w:p>
    <w:p w:rsidR="00CA291E" w:rsidRPr="006F0F08" w:rsidRDefault="00703FD9">
      <w:pPr>
        <w:pStyle w:val="Prrafodelista"/>
        <w:numPr>
          <w:ilvl w:val="0"/>
          <w:numId w:val="2"/>
        </w:numPr>
        <w:spacing w:after="0" w:line="240" w:lineRule="auto"/>
        <w:ind w:left="0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 w:cs="Arial"/>
          <w:color w:val="000000"/>
          <w:lang w:eastAsia="es-ES"/>
        </w:rPr>
        <w:t xml:space="preserve">Definir </w:t>
      </w:r>
      <w:r w:rsidRPr="006F0F08">
        <w:rPr>
          <w:rFonts w:ascii="Gill Sans MT" w:eastAsia="Times New Roman" w:hAnsi="Gill Sans MT"/>
          <w:color w:val="000000"/>
          <w:lang w:eastAsia="es-ES"/>
        </w:rPr>
        <w:t xml:space="preserve">una </w:t>
      </w:r>
      <w:r w:rsidRPr="006F0F08">
        <w:rPr>
          <w:rFonts w:ascii="Gill Sans MT" w:eastAsia="Times New Roman" w:hAnsi="Gill Sans MT"/>
          <w:b/>
          <w:color w:val="000000"/>
          <w:lang w:eastAsia="es-ES"/>
        </w:rPr>
        <w:t>Estrategia de Comunicación Externa</w:t>
      </w:r>
      <w:r w:rsidRPr="006F0F08">
        <w:rPr>
          <w:rFonts w:ascii="Gill Sans MT" w:eastAsia="Times New Roman" w:hAnsi="Gill Sans MT"/>
          <w:color w:val="000000"/>
          <w:lang w:eastAsia="es-ES"/>
        </w:rPr>
        <w:t>, que partiendo de los resultados del diagnóstico y de los acuerdos y manual del protocolo de comunicación interna, desarrollarán los lineamientos de manejo de prensa externa, definirá la creación y aprovechamiento de los espacios y medios propios de las organizaciones y entidades participantes del proyecto.</w:t>
      </w:r>
    </w:p>
    <w:p w:rsidR="00CA291E" w:rsidRPr="006F0F08" w:rsidRDefault="00CA291E">
      <w:pPr>
        <w:pStyle w:val="Prrafodelista"/>
        <w:spacing w:after="0" w:line="240" w:lineRule="auto"/>
        <w:ind w:left="0"/>
        <w:rPr>
          <w:rFonts w:ascii="Gill Sans MT" w:eastAsia="Times New Roman" w:hAnsi="Gill Sans MT"/>
          <w:color w:val="000000"/>
          <w:lang w:eastAsia="es-ES"/>
        </w:rPr>
      </w:pPr>
    </w:p>
    <w:p w:rsidR="00CA291E" w:rsidRPr="006F0F08" w:rsidRDefault="00703FD9">
      <w:pPr>
        <w:pStyle w:val="Prrafodelista"/>
        <w:spacing w:after="0" w:line="240" w:lineRule="auto"/>
        <w:ind w:left="0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De igual forma la estrategia contendrá una estructuración de actividades y procesos que se puedan desarrollar con la comunidad beneficiaria; así como la creación de productos y materiales POP y piezas pedagógicas, que contarán con indicadores básicos de creación y difusión.</w:t>
      </w:r>
    </w:p>
    <w:p w:rsidR="00CA291E" w:rsidRPr="006F0F08" w:rsidRDefault="00703FD9" w:rsidP="006F0F08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Estos productos, actividades y procesos deben cumplir con lo establecido en el manual de imagen del proyecto y responder a los resultados del diagnóstico de comunicación, teniendo en cuenta lo anterior la estrategia cumplirá con las siguientes pautas:</w:t>
      </w:r>
    </w:p>
    <w:p w:rsidR="00CA291E" w:rsidRPr="006F0F08" w:rsidRDefault="00703FD9" w:rsidP="006F0F08">
      <w:pPr>
        <w:pStyle w:val="Prrafodelista"/>
        <w:numPr>
          <w:ilvl w:val="0"/>
          <w:numId w:val="3"/>
        </w:numPr>
        <w:spacing w:before="120" w:after="0" w:line="240" w:lineRule="auto"/>
        <w:ind w:left="360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Desarrollar actividades y procesos de comunicación que se realicen con las comunidades beneficiarias, los medios locales, alternativos y comunitarios.</w:t>
      </w:r>
    </w:p>
    <w:p w:rsidR="00CA291E" w:rsidRPr="006F0F08" w:rsidRDefault="00703FD9" w:rsidP="006F0F08">
      <w:pPr>
        <w:numPr>
          <w:ilvl w:val="0"/>
          <w:numId w:val="4"/>
        </w:numPr>
        <w:spacing w:before="120" w:after="0" w:line="240" w:lineRule="auto"/>
        <w:ind w:left="371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Crear material POP y pedagógico, destinados a la recordación, posicionamiento y comprensión de las acciones del proyecto, con el fin de impulsar la participación de las comunidades.</w:t>
      </w:r>
    </w:p>
    <w:p w:rsidR="00CA291E" w:rsidRPr="006F0F08" w:rsidRDefault="00703FD9" w:rsidP="006F0F08">
      <w:pPr>
        <w:numPr>
          <w:ilvl w:val="0"/>
          <w:numId w:val="4"/>
        </w:numPr>
        <w:spacing w:before="120" w:after="0" w:line="240" w:lineRule="auto"/>
        <w:ind w:left="371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Establecer un esquema de comunicación digital dirigido a población beneficiaria directa e indirecta.</w:t>
      </w:r>
    </w:p>
    <w:p w:rsidR="00CA291E" w:rsidRPr="006F0F08" w:rsidRDefault="00703FD9" w:rsidP="006F0F08">
      <w:pPr>
        <w:numPr>
          <w:ilvl w:val="0"/>
          <w:numId w:val="4"/>
        </w:numPr>
        <w:spacing w:before="120" w:after="0" w:line="240" w:lineRule="auto"/>
        <w:ind w:left="371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Realizar una estrategia de difusión dirigido a la prensa local, regional, nacional e internacional.</w:t>
      </w:r>
    </w:p>
    <w:p w:rsidR="00CA291E" w:rsidRPr="006F0F08" w:rsidRDefault="00CA291E">
      <w:pPr>
        <w:spacing w:before="120" w:after="0" w:line="240" w:lineRule="auto"/>
        <w:jc w:val="both"/>
        <w:rPr>
          <w:rFonts w:ascii="Gill Sans MT" w:eastAsia="Times New Roman" w:hAnsi="Gill Sans MT"/>
          <w:lang w:eastAsia="es-ES"/>
        </w:rPr>
      </w:pPr>
    </w:p>
    <w:p w:rsidR="00CA291E" w:rsidRPr="006F0F08" w:rsidRDefault="00703FD9">
      <w:pPr>
        <w:spacing w:before="120" w:after="0" w:line="240" w:lineRule="auto"/>
        <w:ind w:left="280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color w:val="000000"/>
          <w:lang w:eastAsia="es-ES"/>
        </w:rPr>
        <w:t xml:space="preserve">5. </w:t>
      </w:r>
      <w:r w:rsidRPr="006F0F08">
        <w:rPr>
          <w:rFonts w:ascii="Gill Sans MT" w:eastAsia="Times New Roman" w:hAnsi="Gill Sans MT"/>
          <w:b/>
          <w:bCs/>
          <w:color w:val="000000"/>
          <w:shd w:val="clear" w:color="auto" w:fill="FFFFFF"/>
          <w:lang w:eastAsia="es-ES"/>
        </w:rPr>
        <w:t>Herramientas de comunicación elegidas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hd w:val="clear" w:color="auto" w:fill="FFFFFF"/>
          <w:lang w:eastAsia="es-ES"/>
        </w:rPr>
        <w:t>Las herramientas de comunicación se definirán según los resultados obtenidos en el diagnóstico de comunicación, y se clasificarán según el nivel de impacto que logren en cada uno de los públicos priorizados y los recursos designados para este fin.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hd w:val="clear" w:color="auto" w:fill="FFFFFF"/>
          <w:lang w:eastAsia="es-ES"/>
        </w:rPr>
        <w:t>El Protocolo de Comunicación Interna (PCI) y la Estrategia de Comunicación Externa (ECE), deberán ser aprobados por el comité conformado por la DUE y la AECID además de las instancias que se consideren pertinentes, que analizará la pertinencia e impacto de las propuestas a ejecutar.</w:t>
      </w:r>
    </w:p>
    <w:p w:rsidR="00CA291E" w:rsidRPr="006F0F08" w:rsidRDefault="00703FD9">
      <w:pPr>
        <w:spacing w:before="120" w:after="0" w:line="240" w:lineRule="auto"/>
        <w:ind w:left="280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color w:val="000000"/>
          <w:u w:val="single"/>
          <w:lang w:eastAsia="es-ES"/>
        </w:rPr>
        <w:t xml:space="preserve"> </w:t>
      </w:r>
    </w:p>
    <w:p w:rsidR="00CA291E" w:rsidRPr="006F0F08" w:rsidRDefault="00703FD9">
      <w:pPr>
        <w:spacing w:before="120" w:after="0" w:line="240" w:lineRule="auto"/>
        <w:ind w:left="160" w:hanging="160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color w:val="000000"/>
          <w:shd w:val="clear" w:color="auto" w:fill="FFFFFF"/>
          <w:lang w:eastAsia="es-ES"/>
        </w:rPr>
        <w:t>6. Cumplimiento de los objetivos de comunicación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hd w:val="clear" w:color="auto" w:fill="FFFFFF"/>
          <w:lang w:eastAsia="es-ES"/>
        </w:rPr>
        <w:t>Los indicadores se establecerán en el documento de Estrategia de Comunicación Externa (ECE) que sea aprobado por el comité delegado. Entre ellos estarán el número de productos, actividades y materiales generados, las métricas digitales establecidas en los diferentes aplicativos que se usen, la participación de la comunidad en las actividades realizadas y las publicaciones logradas en los medios de comunicación.</w:t>
      </w:r>
    </w:p>
    <w:p w:rsidR="00CA291E" w:rsidRPr="006F0F08" w:rsidRDefault="00703FD9">
      <w:pPr>
        <w:spacing w:before="120" w:after="0" w:line="240" w:lineRule="auto"/>
        <w:ind w:left="280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shd w:val="clear" w:color="auto" w:fill="FFFFFF"/>
          <w:lang w:eastAsia="es-ES"/>
        </w:rPr>
        <w:t xml:space="preserve"> </w:t>
      </w:r>
    </w:p>
    <w:p w:rsidR="00CC5195" w:rsidRDefault="00CC5195">
      <w:pPr>
        <w:suppressAutoHyphens w:val="0"/>
        <w:rPr>
          <w:rFonts w:ascii="Gill Sans MT" w:eastAsia="Times New Roman" w:hAnsi="Gill Sans MT"/>
          <w:b/>
          <w:bCs/>
          <w:color w:val="000000"/>
          <w:lang w:eastAsia="es-ES"/>
        </w:rPr>
      </w:pPr>
      <w:r>
        <w:rPr>
          <w:rFonts w:ascii="Gill Sans MT" w:eastAsia="Times New Roman" w:hAnsi="Gill Sans MT"/>
          <w:b/>
          <w:bCs/>
          <w:color w:val="000000"/>
          <w:lang w:eastAsia="es-ES"/>
        </w:rPr>
        <w:br w:type="page"/>
      </w:r>
    </w:p>
    <w:p w:rsidR="00CA291E" w:rsidRPr="006F0F08" w:rsidRDefault="00703FD9">
      <w:pPr>
        <w:spacing w:before="120" w:after="0" w:line="240" w:lineRule="auto"/>
        <w:ind w:left="160" w:hanging="160"/>
        <w:jc w:val="center"/>
        <w:rPr>
          <w:rFonts w:ascii="Gill Sans MT" w:hAnsi="Gill Sans MT"/>
        </w:rPr>
      </w:pPr>
      <w:r w:rsidRPr="006F0F08">
        <w:rPr>
          <w:rFonts w:ascii="Gill Sans MT" w:eastAsia="Times New Roman" w:hAnsi="Gill Sans MT"/>
          <w:b/>
          <w:bCs/>
          <w:color w:val="000000"/>
          <w:lang w:eastAsia="es-ES"/>
        </w:rPr>
        <w:lastRenderedPageBreak/>
        <w:t>C- Recursos</w:t>
      </w:r>
    </w:p>
    <w:p w:rsidR="00CA291E" w:rsidRPr="006F0F08" w:rsidRDefault="00703FD9">
      <w:pPr>
        <w:spacing w:before="120" w:after="0" w:line="240" w:lineRule="auto"/>
        <w:ind w:left="160" w:hanging="160"/>
        <w:jc w:val="center"/>
        <w:rPr>
          <w:rFonts w:ascii="Gill Sans MT" w:eastAsia="Times New Roman" w:hAnsi="Gill Sans MT"/>
          <w:b/>
          <w:bCs/>
          <w:color w:val="000000"/>
          <w:lang w:eastAsia="es-ES"/>
        </w:rPr>
      </w:pPr>
      <w:r w:rsidRPr="006F0F08">
        <w:rPr>
          <w:rFonts w:ascii="Gill Sans MT" w:eastAsia="Times New Roman" w:hAnsi="Gill Sans MT"/>
          <w:b/>
          <w:bCs/>
          <w:color w:val="000000"/>
          <w:lang w:eastAsia="es-ES"/>
        </w:rPr>
        <w:t>8. Recursos humanos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Se realizará la contratación de un/a profesional en comunicación con experiencia y arraigo en el departamento de Nariño, quien apoyará la realización del Diagnóstico de Comunicación, así como la identificación de los públicos priorizados. 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De igual forma y en conjunto con el equipo de comunicaciones de las entidades beneficiarias, aportantes y ejecutoras, construirá el Protocolo de Comunicación Interna, que incluye el manual de imagen del proyecto y la Estrategia de Comunicación Externa, con todos los esquemas de comunicación digital, propuesta de actividades, materiales y piezas de visibilidad, difusión, pedagogía y el lineamiento de prensa. 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Además de apoyar la construcción de productos de comunicación, que den cuenta de la evolución de las líneas de intervención y el impacto social que tienen en las comunidades y organizaciones, incluyendo el apoyo en la realización de acciones de difusión en medios y con comunidades, así como en la realización de reportes y mediciones de impacto comunicativo.</w:t>
      </w:r>
    </w:p>
    <w:p w:rsidR="00CA291E" w:rsidRPr="006F0F08" w:rsidRDefault="00703FD9">
      <w:pPr>
        <w:spacing w:before="120" w:after="0" w:line="240" w:lineRule="auto"/>
        <w:jc w:val="both"/>
        <w:rPr>
          <w:rFonts w:ascii="Gill Sans MT" w:eastAsia="Times New Roman" w:hAnsi="Gill Sans MT"/>
          <w:color w:val="000000"/>
          <w:lang w:eastAsia="es-ES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>Adicionalmente se contará con un rubro global de 15.521 €, destinado a la generación de los materiales, productos, piezas y actividades de comunicación que se establezcan tanto en el protocolo de comunicación interna, como en la estrategia de comunicación externa, los cuales deben ser previamente aprobadas por el comité delegado.</w:t>
      </w:r>
    </w:p>
    <w:p w:rsidR="00CA291E" w:rsidRPr="006F0F08" w:rsidRDefault="00703FD9">
      <w:pPr>
        <w:shd w:val="clear" w:color="auto" w:fill="FFFFFF"/>
        <w:spacing w:before="120" w:after="0" w:line="240" w:lineRule="auto"/>
        <w:jc w:val="both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Se definirá un comité encargado de realizar el </w:t>
      </w:r>
      <w:r w:rsidRPr="006F0F08">
        <w:rPr>
          <w:rFonts w:ascii="Gill Sans MT" w:eastAsia="Times New Roman" w:hAnsi="Gill Sans MT"/>
          <w:color w:val="000000"/>
          <w:shd w:val="clear" w:color="auto" w:fill="FFFFFF"/>
          <w:lang w:eastAsia="es-ES"/>
        </w:rPr>
        <w:t>seguimiento y apoyo a la construcción de los procesos y productos de comunicación establecidos en este plan de comunicaciones.</w:t>
      </w:r>
    </w:p>
    <w:p w:rsidR="00CA291E" w:rsidRPr="006F0F08" w:rsidRDefault="00703FD9">
      <w:pPr>
        <w:spacing w:after="0" w:line="240" w:lineRule="auto"/>
        <w:ind w:left="720" w:hanging="360"/>
        <w:rPr>
          <w:rFonts w:ascii="Gill Sans MT" w:hAnsi="Gill Sans MT"/>
        </w:rPr>
      </w:pPr>
      <w:r w:rsidRPr="006F0F08">
        <w:rPr>
          <w:rFonts w:ascii="Gill Sans MT" w:eastAsia="Times New Roman" w:hAnsi="Gill Sans MT"/>
          <w:color w:val="000000"/>
          <w:lang w:eastAsia="es-ES"/>
        </w:rPr>
        <w:t xml:space="preserve"> </w:t>
      </w:r>
    </w:p>
    <w:p w:rsidR="00CA291E" w:rsidRPr="006F0F08" w:rsidRDefault="00CA291E">
      <w:pPr>
        <w:spacing w:after="0" w:line="240" w:lineRule="auto"/>
        <w:ind w:left="100" w:right="100"/>
        <w:jc w:val="both"/>
        <w:rPr>
          <w:rFonts w:ascii="Gill Sans MT" w:hAnsi="Gill Sans MT"/>
        </w:rPr>
      </w:pPr>
    </w:p>
    <w:p w:rsidR="00CA291E" w:rsidRPr="006F0F08" w:rsidRDefault="00CA291E">
      <w:pPr>
        <w:spacing w:after="0" w:line="240" w:lineRule="auto"/>
        <w:ind w:left="100" w:right="100"/>
        <w:jc w:val="both"/>
        <w:rPr>
          <w:rFonts w:ascii="Gill Sans MT" w:hAnsi="Gill Sans MT"/>
        </w:rPr>
      </w:pPr>
    </w:p>
    <w:sectPr w:rsidR="00CA291E" w:rsidRPr="006F0F08">
      <w:headerReference w:type="default" r:id="rId7"/>
      <w:footerReference w:type="default" r:id="rId8"/>
      <w:pgSz w:w="11906" w:h="16838"/>
      <w:pgMar w:top="1417" w:right="1701" w:bottom="1417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115" w:rsidRDefault="00A75115">
      <w:pPr>
        <w:spacing w:after="0" w:line="240" w:lineRule="auto"/>
      </w:pPr>
      <w:r>
        <w:separator/>
      </w:r>
    </w:p>
  </w:endnote>
  <w:endnote w:type="continuationSeparator" w:id="0">
    <w:p w:rsidR="00A75115" w:rsidRDefault="00A75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C3C" w:rsidRDefault="00703FD9">
    <w:pPr>
      <w:pStyle w:val="Piedepgina"/>
      <w:jc w:val="center"/>
    </w:pP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 w:rsidR="007C137B">
      <w:rPr>
        <w:rFonts w:ascii="Tahoma" w:hAnsi="Tahoma" w:cs="Tahoma"/>
        <w:noProof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</w:p>
  <w:p w:rsidR="00913C3C" w:rsidRDefault="00A7511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115" w:rsidRDefault="00A7511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75115" w:rsidRDefault="00A75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C3C" w:rsidRDefault="00703FD9">
    <w:pPr>
      <w:pStyle w:val="Encabezado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EUTF. PROYECTO DE DESARROLLO TERRITORIAL EN NARIÑO EN CONDICIONES DE PAZ</w:t>
    </w:r>
  </w:p>
  <w:p w:rsidR="00913C3C" w:rsidRDefault="00703FD9">
    <w:pPr>
      <w:pStyle w:val="Encabezado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ANEXO VI. Plan de comunicación y visibilidad </w:t>
    </w:r>
  </w:p>
  <w:p w:rsidR="00913C3C" w:rsidRDefault="00A7511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95CE9"/>
    <w:multiLevelType w:val="multilevel"/>
    <w:tmpl w:val="2356244E"/>
    <w:lvl w:ilvl="0">
      <w:numFmt w:val="bullet"/>
      <w:lvlText w:val="-"/>
      <w:lvlJc w:val="left"/>
      <w:pPr>
        <w:ind w:left="684" w:hanging="684"/>
      </w:pPr>
      <w:rPr>
        <w:rFonts w:ascii="Gill Sans MT" w:eastAsia="Times New Roman" w:hAnsi="Gill Sans MT" w:cs="Times New Roman"/>
        <w:color w:val="00000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3C6D64DC"/>
    <w:multiLevelType w:val="multilevel"/>
    <w:tmpl w:val="0AE8B6E6"/>
    <w:lvl w:ilvl="0">
      <w:start w:val="1"/>
      <w:numFmt w:val="upperLetter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79A0101"/>
    <w:multiLevelType w:val="multilevel"/>
    <w:tmpl w:val="5D166B66"/>
    <w:lvl w:ilvl="0">
      <w:numFmt w:val="bullet"/>
      <w:lvlText w:val=""/>
      <w:lvlJc w:val="left"/>
      <w:pPr>
        <w:ind w:left="11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85" w:hanging="360"/>
      </w:pPr>
      <w:rPr>
        <w:rFonts w:ascii="Wingdings" w:hAnsi="Wingdings"/>
      </w:rPr>
    </w:lvl>
  </w:abstractNum>
  <w:abstractNum w:abstractNumId="3" w15:restartNumberingAfterBreak="0">
    <w:nsid w:val="7A696F23"/>
    <w:multiLevelType w:val="multilevel"/>
    <w:tmpl w:val="BD4E0FB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91E"/>
    <w:rsid w:val="0023576E"/>
    <w:rsid w:val="003C7D7B"/>
    <w:rsid w:val="006F0F08"/>
    <w:rsid w:val="00703FD9"/>
    <w:rsid w:val="007C137B"/>
    <w:rsid w:val="008E175A"/>
    <w:rsid w:val="00A75115"/>
    <w:rsid w:val="00AD433B"/>
    <w:rsid w:val="00B00B53"/>
    <w:rsid w:val="00B02C5F"/>
    <w:rsid w:val="00BD2D2C"/>
    <w:rsid w:val="00C332C1"/>
    <w:rsid w:val="00CA291E"/>
    <w:rsid w:val="00CC5195"/>
    <w:rsid w:val="00F5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8F406-A6E4-4214-9551-4BCFA9DF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apple-tab-span">
    <w:name w:val="apple-tab-span"/>
    <w:basedOn w:val="Fuentedeprrafopredeter"/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  <w:sz w:val="20"/>
      <w:szCs w:val="20"/>
    </w:rPr>
  </w:style>
  <w:style w:type="paragraph" w:styleId="Textodeglobo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pPr>
      <w:ind w:left="720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1552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COMUNICACIONES</dc:creator>
  <dc:description/>
  <cp:lastModifiedBy>COMUNICACIONES</cp:lastModifiedBy>
  <cp:revision>2</cp:revision>
  <dcterms:created xsi:type="dcterms:W3CDTF">2018-08-23T21:39:00Z</dcterms:created>
  <dcterms:modified xsi:type="dcterms:W3CDTF">2018-08-23T21:39:00Z</dcterms:modified>
</cp:coreProperties>
</file>